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color w:val="000000"/>
          <w:sz w:val="48"/>
          <w:szCs w:val="48"/>
          <w:lang w:val="en-US" w:eastAsia="zh-CN"/>
        </w:rPr>
      </w:pPr>
      <w:bookmarkStart w:id="0" w:name="_Toc28359022"/>
      <w:bookmarkStart w:id="1" w:name="_Toc35393809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</w:t>
      </w:r>
      <w:r>
        <w:rPr>
          <w:rFonts w:hint="eastAsia" w:ascii="宋体" w:hAnsi="宋体" w:cs="宋体"/>
          <w:b/>
          <w:bCs/>
          <w:color w:val="000000"/>
          <w:sz w:val="48"/>
          <w:szCs w:val="48"/>
          <w:lang w:val="en-US" w:eastAsia="zh-CN"/>
        </w:rPr>
        <w:t>亮化及绿化项目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kern w:val="44"/>
          <w:sz w:val="48"/>
          <w:szCs w:val="48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JSGCJC-CICDI-013</w:t>
      </w:r>
    </w:p>
    <w:p>
      <w:pPr>
        <w:pStyle w:val="2"/>
        <w:spacing w:line="48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亮化及绿化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安徽益祥建设集团有限公司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124832.39元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供应商地址：合肥市蜀山区望江西路198号信旺华府骏苑14幢2726-2728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合肥市建设工程监测中心有限责任公司亮化及绿化项目。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工程范围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合肥市建设工程监测中心有限责任公司，合肥市包河区经济开发区大连路7号。公司现将对办公楼外立面安装发光字亮化项施工；办公楼南侧及空中花园绿化改造项施工；局部电路改造及给排水增加项施工等；详细施工内容见工程量清单和招标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工期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20日历天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35393641"/>
      <w:bookmarkStart w:id="3" w:name="_Toc35393810"/>
      <w:bookmarkStart w:id="4" w:name="_Toc28359023"/>
      <w:bookmarkStart w:id="5" w:name="_Toc2835910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28359101"/>
      <w:bookmarkStart w:id="7" w:name="_Toc35393811"/>
      <w:bookmarkStart w:id="8" w:name="_Toc35393642"/>
      <w:bookmarkStart w:id="9" w:name="_Toc28359024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102"/>
      <w:bookmarkStart w:id="11" w:name="_Toc28359025"/>
      <w:bookmarkStart w:id="12" w:name="_Toc35393643"/>
      <w:bookmarkStart w:id="13" w:name="_Toc3539381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F236C7E"/>
    <w:rsid w:val="344F1803"/>
    <w:rsid w:val="3F236A9D"/>
    <w:rsid w:val="50014330"/>
    <w:rsid w:val="53B91D41"/>
    <w:rsid w:val="5F67690A"/>
    <w:rsid w:val="65205A8B"/>
    <w:rsid w:val="66A83C2F"/>
    <w:rsid w:val="6B933C45"/>
    <w:rsid w:val="74A23A21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2020-12-07T02:55:28Z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